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10163" w:rsidRPr="00D10163" w:rsidP="00D10163">
      <w:pPr>
        <w:jc w:val="right"/>
        <w:rPr>
          <w:rFonts w:eastAsia="Times New Roman CYR"/>
          <w:sz w:val="28"/>
          <w:szCs w:val="28"/>
        </w:rPr>
      </w:pPr>
      <w:r w:rsidRPr="00D10163">
        <w:rPr>
          <w:rFonts w:eastAsia="Times New Roman CYR"/>
          <w:sz w:val="28"/>
          <w:szCs w:val="28"/>
        </w:rPr>
        <w:t>УИД 86MS0016-01-2024-001879-08</w:t>
      </w:r>
    </w:p>
    <w:p w:rsidR="00D10163" w:rsidRPr="00D10163" w:rsidP="00D10163">
      <w:pPr>
        <w:jc w:val="right"/>
        <w:rPr>
          <w:rFonts w:eastAsia="Times New Roman CYR"/>
          <w:sz w:val="28"/>
          <w:szCs w:val="28"/>
        </w:rPr>
      </w:pPr>
      <w:r w:rsidRPr="00D10163">
        <w:rPr>
          <w:rFonts w:eastAsia="Times New Roman CYR"/>
          <w:sz w:val="28"/>
          <w:szCs w:val="28"/>
        </w:rPr>
        <w:t>Дело №</w:t>
      </w:r>
      <w:r w:rsidRPr="00D10163">
        <w:rPr>
          <w:rFonts w:eastAsia="Calibri"/>
          <w:sz w:val="28"/>
          <w:szCs w:val="28"/>
          <w:lang w:eastAsia="en-US"/>
        </w:rPr>
        <w:t xml:space="preserve"> </w:t>
      </w:r>
      <w:r w:rsidRPr="00D10163">
        <w:rPr>
          <w:rFonts w:eastAsia="Times New Roman CYR"/>
          <w:sz w:val="28"/>
          <w:szCs w:val="28"/>
        </w:rPr>
        <w:t>05-0215/2805/2024</w:t>
      </w:r>
    </w:p>
    <w:p w:rsidR="00D10163" w:rsidRPr="00D10163" w:rsidP="00D10163">
      <w:pPr>
        <w:jc w:val="center"/>
        <w:rPr>
          <w:rFonts w:eastAsia="Times New Roman CYR"/>
          <w:sz w:val="28"/>
          <w:szCs w:val="28"/>
        </w:rPr>
      </w:pPr>
    </w:p>
    <w:p w:rsidR="00D10163" w:rsidRPr="00D10163" w:rsidP="00D10163">
      <w:pPr>
        <w:jc w:val="center"/>
        <w:rPr>
          <w:rFonts w:eastAsia="Times New Roman CYR"/>
          <w:sz w:val="28"/>
          <w:szCs w:val="28"/>
        </w:rPr>
      </w:pPr>
      <w:r w:rsidRPr="00D10163">
        <w:rPr>
          <w:rFonts w:eastAsia="Times New Roman CYR"/>
          <w:sz w:val="28"/>
          <w:szCs w:val="28"/>
        </w:rPr>
        <w:t xml:space="preserve">ПОСТАНОВЛЕНИЕ </w:t>
      </w:r>
    </w:p>
    <w:p w:rsidR="00D10163" w:rsidRPr="00D10163" w:rsidP="00D10163">
      <w:pPr>
        <w:jc w:val="center"/>
        <w:rPr>
          <w:rFonts w:eastAsia="Times New Roman CYR"/>
          <w:sz w:val="28"/>
          <w:szCs w:val="28"/>
        </w:rPr>
      </w:pPr>
      <w:r w:rsidRPr="00D10163">
        <w:rPr>
          <w:rFonts w:eastAsia="Times New Roman CYR"/>
          <w:sz w:val="28"/>
          <w:szCs w:val="28"/>
        </w:rPr>
        <w:t>о прекращении производства по делу</w:t>
      </w:r>
    </w:p>
    <w:p w:rsidR="00D10163" w:rsidRPr="00D10163" w:rsidP="00D10163">
      <w:pPr>
        <w:jc w:val="both"/>
        <w:rPr>
          <w:sz w:val="28"/>
          <w:szCs w:val="28"/>
        </w:rPr>
      </w:pPr>
    </w:p>
    <w:tbl>
      <w:tblPr>
        <w:tblW w:w="0" w:type="auto"/>
        <w:tblLook w:val="04A0"/>
      </w:tblPr>
      <w:tblGrid>
        <w:gridCol w:w="4826"/>
        <w:gridCol w:w="4812"/>
      </w:tblGrid>
      <w:tr w:rsidTr="00D10163">
        <w:tblPrEx>
          <w:tblW w:w="0" w:type="auto"/>
          <w:tblLook w:val="04A0"/>
        </w:tblPrEx>
        <w:tc>
          <w:tcPr>
            <w:tcW w:w="5068" w:type="dxa"/>
            <w:hideMark/>
          </w:tcPr>
          <w:p w:rsidR="00D10163" w:rsidRPr="00D10163" w:rsidP="00D10163">
            <w:pPr>
              <w:spacing w:line="254" w:lineRule="auto"/>
              <w:jc w:val="both"/>
              <w:rPr>
                <w:rFonts w:eastAsia="Times New Roman CYR"/>
                <w:sz w:val="28"/>
                <w:szCs w:val="28"/>
                <w:lang w:eastAsia="en-US"/>
              </w:rPr>
            </w:pPr>
            <w:r w:rsidRPr="00D10163">
              <w:rPr>
                <w:rFonts w:eastAsia="Times New Roman CYR"/>
                <w:sz w:val="28"/>
                <w:szCs w:val="28"/>
                <w:lang w:eastAsia="en-US"/>
              </w:rPr>
              <w:t>г. Ханты-Мансийск</w:t>
            </w:r>
          </w:p>
        </w:tc>
        <w:tc>
          <w:tcPr>
            <w:tcW w:w="5069" w:type="dxa"/>
            <w:hideMark/>
          </w:tcPr>
          <w:p w:rsidR="00D10163" w:rsidRPr="00D10163" w:rsidP="00D10163">
            <w:pPr>
              <w:spacing w:line="254" w:lineRule="auto"/>
              <w:jc w:val="right"/>
              <w:rPr>
                <w:rFonts w:eastAsia="Times New Roman CYR"/>
                <w:sz w:val="28"/>
                <w:szCs w:val="28"/>
                <w:lang w:eastAsia="en-US"/>
              </w:rPr>
            </w:pPr>
            <w:r w:rsidRPr="00D10163">
              <w:rPr>
                <w:sz w:val="28"/>
                <w:szCs w:val="28"/>
                <w:lang w:eastAsia="en-US"/>
              </w:rPr>
              <w:t xml:space="preserve"> 21 февраля 2024 года</w:t>
            </w:r>
          </w:p>
        </w:tc>
      </w:tr>
    </w:tbl>
    <w:p w:rsidR="00D10163" w:rsidRPr="00D10163" w:rsidP="00D10163">
      <w:pPr>
        <w:autoSpaceDE w:val="0"/>
        <w:autoSpaceDN w:val="0"/>
        <w:ind w:firstLine="720"/>
        <w:jc w:val="both"/>
        <w:rPr>
          <w:rFonts w:eastAsia="Malgun Gothic"/>
          <w:sz w:val="28"/>
          <w:szCs w:val="28"/>
        </w:rPr>
      </w:pPr>
    </w:p>
    <w:p w:rsidR="00D10163" w:rsidRPr="00D10163" w:rsidP="00D10163">
      <w:pPr>
        <w:autoSpaceDE w:val="0"/>
        <w:autoSpaceDN w:val="0"/>
        <w:ind w:firstLine="720"/>
        <w:jc w:val="both"/>
        <w:rPr>
          <w:rFonts w:eastAsia="Malgun Gothic"/>
          <w:sz w:val="28"/>
          <w:szCs w:val="28"/>
        </w:rPr>
      </w:pPr>
      <w:r w:rsidRPr="00D10163">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D10163" w:rsidRPr="00D10163" w:rsidP="00D10163">
      <w:pPr>
        <w:ind w:firstLine="720"/>
        <w:jc w:val="both"/>
        <w:rPr>
          <w:rFonts w:eastAsia="Times New Roman CYR"/>
          <w:sz w:val="28"/>
          <w:szCs w:val="28"/>
        </w:rPr>
      </w:pPr>
      <w:r w:rsidRPr="00D10163">
        <w:rPr>
          <w:rFonts w:eastAsia="Times New Roman CYR"/>
          <w:sz w:val="28"/>
          <w:szCs w:val="28"/>
        </w:rPr>
        <w:t xml:space="preserve">рассмотрев в открытом судебном заседании дело об административном правонарушении, возбужденное по ч.4 ст.12.15 КоАП РФ в отношении </w:t>
      </w:r>
    </w:p>
    <w:p w:rsidR="00D10163" w:rsidRPr="00D10163" w:rsidP="00D10163">
      <w:pPr>
        <w:ind w:firstLine="720"/>
        <w:jc w:val="both"/>
        <w:rPr>
          <w:rFonts w:eastAsia="Times New Roman CYR"/>
          <w:sz w:val="28"/>
          <w:szCs w:val="28"/>
        </w:rPr>
      </w:pPr>
      <w:r w:rsidRPr="00D10163">
        <w:rPr>
          <w:sz w:val="28"/>
          <w:szCs w:val="28"/>
        </w:rPr>
        <w:t>Суслова Сергея Васильевича</w:t>
      </w:r>
      <w:r w:rsidRPr="00D10163">
        <w:rPr>
          <w:rFonts w:eastAsia="Times New Roman CYR"/>
          <w:sz w:val="28"/>
          <w:szCs w:val="28"/>
        </w:rPr>
        <w:t xml:space="preserve">, </w:t>
      </w:r>
      <w:r w:rsidRPr="00D10163">
        <w:rPr>
          <w:sz w:val="28"/>
          <w:szCs w:val="28"/>
        </w:rPr>
        <w:t>***</w:t>
      </w:r>
      <w:r w:rsidRPr="00D10163">
        <w:rPr>
          <w:rFonts w:eastAsia="Times New Roman CYR"/>
          <w:color w:val="000000" w:themeColor="text1"/>
          <w:sz w:val="28"/>
          <w:szCs w:val="28"/>
        </w:rPr>
        <w:t>,</w:t>
      </w:r>
    </w:p>
    <w:p w:rsidR="00D10163" w:rsidRPr="00D10163" w:rsidP="00D10163">
      <w:pPr>
        <w:jc w:val="center"/>
        <w:rPr>
          <w:rFonts w:eastAsia="Times New Roman CYR"/>
          <w:sz w:val="28"/>
          <w:szCs w:val="28"/>
        </w:rPr>
      </w:pPr>
      <w:r w:rsidRPr="00D10163">
        <w:rPr>
          <w:rFonts w:eastAsia="Times New Roman CYR"/>
          <w:sz w:val="28"/>
          <w:szCs w:val="28"/>
        </w:rPr>
        <w:t>УСТАНОВИЛ:</w:t>
      </w:r>
    </w:p>
    <w:p w:rsidR="00D10163" w:rsidRPr="00D10163" w:rsidP="00D10163">
      <w:pPr>
        <w:ind w:firstLine="709"/>
        <w:jc w:val="both"/>
        <w:rPr>
          <w:sz w:val="28"/>
          <w:szCs w:val="28"/>
        </w:rPr>
      </w:pPr>
      <w:r w:rsidRPr="00D10163">
        <w:rPr>
          <w:sz w:val="28"/>
          <w:szCs w:val="28"/>
        </w:rPr>
        <w:t>Согласно протокола об административном правонарушении 86 ХМ 472163 от 02.01.2024, Суслов С.В. 02.01.2024 в 15 час. 32 мин. на ***, управлял автомобилем Renault Duster г/н ***, при совершении обгона, выехал на полосу предназначенную для встречного движения, когда транспортное средство, движущееся впереди производило обгон, чем нарушил п.11.2 ПДД РФ.</w:t>
      </w:r>
    </w:p>
    <w:p w:rsidR="00D10163" w:rsidRPr="00D10163" w:rsidP="00D10163">
      <w:pPr>
        <w:ind w:firstLine="709"/>
        <w:jc w:val="both"/>
        <w:rPr>
          <w:sz w:val="28"/>
          <w:szCs w:val="28"/>
        </w:rPr>
      </w:pPr>
      <w:r w:rsidRPr="00D10163">
        <w:rPr>
          <w:sz w:val="28"/>
          <w:szCs w:val="28"/>
        </w:rPr>
        <w:t>В судебном заседании Суслов С.В. вину признал, от пояснений отказался.</w:t>
      </w:r>
    </w:p>
    <w:p w:rsidR="00D10163" w:rsidRPr="00D10163" w:rsidP="00D10163">
      <w:pPr>
        <w:ind w:firstLine="709"/>
        <w:jc w:val="both"/>
        <w:rPr>
          <w:sz w:val="28"/>
          <w:szCs w:val="28"/>
        </w:rPr>
      </w:pPr>
      <w:r w:rsidRPr="00D10163">
        <w:rPr>
          <w:sz w:val="28"/>
          <w:szCs w:val="28"/>
        </w:rPr>
        <w:t>Изучив и проанализировав письменные материалы дела, мировой судья установил следующее.</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 1090 (далее - Правила дорожного движения, Правила)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Пунктом 11.2 Правил дорожного движения установлено, что водителю запрещается выполнять обгон в случаях, если: транспортное средство, движущееся впереди, производит обгон или объезд препятствия; транспортное средство, движущееся впереди по той же полосе, подало сигнал поворота налево; следующее за ним транспортное средство начало обгон; 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D10163" w:rsidRPr="00D10163" w:rsidP="00D10163">
      <w:pPr>
        <w:ind w:firstLine="709"/>
        <w:jc w:val="both"/>
        <w:rPr>
          <w:sz w:val="28"/>
          <w:szCs w:val="28"/>
        </w:rPr>
      </w:pPr>
      <w:r w:rsidRPr="00D10163">
        <w:rPr>
          <w:rFonts w:eastAsia="Calibri"/>
          <w:sz w:val="28"/>
          <w:szCs w:val="28"/>
          <w:lang w:eastAsia="en-US"/>
        </w:rPr>
        <w:t xml:space="preserve">Как усматривается из материалов дела об административном правонарушении, </w:t>
      </w:r>
      <w:r w:rsidRPr="00D10163">
        <w:rPr>
          <w:sz w:val="28"/>
          <w:szCs w:val="28"/>
        </w:rPr>
        <w:t xml:space="preserve">Суслов С.В. 02.01.2024 в 15 час. 32 мин. на 45 км а/д Югра Ханты-Мансийского района ХМАО-Югры, управлял автомобилем Renault </w:t>
      </w:r>
      <w:r w:rsidRPr="00D10163">
        <w:rPr>
          <w:sz w:val="28"/>
          <w:szCs w:val="28"/>
        </w:rPr>
        <w:t>Duster г/н ***, при совершении обгона, выехал на полосу предназначенную для встречного движения, когда транспортное средство, движущееся впереди производило обгон, чем нарушил п.11.2 ПДД РФ.</w:t>
      </w:r>
    </w:p>
    <w:p w:rsidR="00D10163" w:rsidRPr="00D10163" w:rsidP="00D10163">
      <w:pPr>
        <w:ind w:firstLine="709"/>
        <w:jc w:val="both"/>
        <w:rPr>
          <w:sz w:val="28"/>
          <w:szCs w:val="28"/>
        </w:rPr>
      </w:pPr>
      <w:r w:rsidRPr="00D10163">
        <w:rPr>
          <w:sz w:val="28"/>
          <w:szCs w:val="28"/>
        </w:rPr>
        <w:t>Вместе с тем, мировой судья установил обстоятельства, исключающие производство по делу об административном правонарушении, ввиду следующего.</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В соответствии со статьей 26.1 Кодекса Российской Федерации об административных правонарушениях по делу об административном правонарушении подлежат выяснению, в частности: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Установление виновности предполагает доказывание вины лица в совершении противоправного действия (бездействия), то есть объективной стороны деяния.</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В пункте 15 постановления Пленума Верховного Суда Российской Федерации от 25 июня 2019 года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разъяснено, что действия водителя, связанные с нарушением требований Правил дорожного движения,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Правил дорожного движения),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В силу подпункта «г» не допускается обгон движущегося впереди транспортного средства, производящего обгон или объезд препятствия либо движущегося впереди по той же полосе и подавшего сигнал поворота налево, а также следующего позади транспортного средства, начавшего обгон; маневр обгона также запрещен, если по его завершении водитель не сможет, не создавая опасности для движения и помех обгоняемому транспортному средству, вернуться на ранее занимаемую полосу (пункт 11.2 Правил дорожного движения).</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То есть, как следует из вышеуказанных разъяснений Верховного Суда Российской Федерации, запрещается обгонять именно транспортное средство, которое двигается впереди, совершая объезд или обгон, транспортное средство подавшее сигнал поворота налево.</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В этом случае речь идет только об одном транспортном средстве, это транспортное средство, которое в данный момент производит обгон или объезд препятствия, именно его и запрещается обгонять.</w:t>
      </w:r>
    </w:p>
    <w:p w:rsidR="00D10163" w:rsidRPr="00D10163" w:rsidP="00D10163">
      <w:pPr>
        <w:ind w:firstLine="709"/>
        <w:jc w:val="both"/>
        <w:rPr>
          <w:rFonts w:eastAsia="Calibri"/>
          <w:sz w:val="28"/>
          <w:szCs w:val="28"/>
          <w:lang w:eastAsia="en-US"/>
        </w:rPr>
      </w:pPr>
      <w:r w:rsidRPr="00D10163">
        <w:rPr>
          <w:rFonts w:eastAsia="Calibri"/>
          <w:sz w:val="28"/>
          <w:szCs w:val="28"/>
          <w:lang w:eastAsia="en-US"/>
        </w:rPr>
        <w:t xml:space="preserve">Как следует из имеющейся в материалах дела видеозаписи, Суслов С.В., совершая маневр обгона, выехал на полосу дороги, предназначенную для встречного движения, в месте, где Правилами дорожного движения это не </w:t>
      </w:r>
      <w:r w:rsidRPr="00D10163">
        <w:rPr>
          <w:rFonts w:eastAsia="Calibri"/>
          <w:sz w:val="28"/>
          <w:szCs w:val="28"/>
          <w:lang w:eastAsia="en-US"/>
        </w:rPr>
        <w:t>запрещено, начал маневр обгона вслед за впередиидущим транспортным средством.</w:t>
      </w:r>
    </w:p>
    <w:p w:rsidR="00D10163" w:rsidRPr="00D10163" w:rsidP="00D10163">
      <w:pPr>
        <w:ind w:firstLine="709"/>
        <w:jc w:val="both"/>
        <w:rPr>
          <w:sz w:val="28"/>
          <w:szCs w:val="28"/>
        </w:rPr>
      </w:pPr>
      <w:r w:rsidRPr="00D10163">
        <w:rPr>
          <w:rFonts w:eastAsia="Calibri"/>
          <w:sz w:val="28"/>
          <w:szCs w:val="28"/>
          <w:lang w:eastAsia="en-US"/>
        </w:rPr>
        <w:t>Из содержания частей 1 и 4 статьи 1.5 Кодекса Российской Федерации об административных правонарушениях следует, что лицо подлежит административной ответственности только за те административные правонарушения, в отношении которых установлена его вина, а неустранимые сомнения в виновности лица, привлекаемого к административной ответственности, толкуются в пользу этого лица.</w:t>
      </w:r>
    </w:p>
    <w:p w:rsidR="00D10163" w:rsidRPr="00D10163" w:rsidP="00D10163">
      <w:pPr>
        <w:ind w:firstLine="709"/>
        <w:jc w:val="both"/>
        <w:rPr>
          <w:sz w:val="28"/>
          <w:szCs w:val="28"/>
        </w:rPr>
      </w:pPr>
      <w:r w:rsidRPr="00D10163">
        <w:rPr>
          <w:sz w:val="28"/>
          <w:szCs w:val="28"/>
        </w:rPr>
        <w:t>В соответствии с п.2 ч.1 ст.24.5 КоАП РФ,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D10163" w:rsidRPr="00D10163" w:rsidP="00D10163">
      <w:pPr>
        <w:shd w:val="clear" w:color="auto" w:fill="FFFFFF"/>
        <w:ind w:firstLine="709"/>
        <w:jc w:val="both"/>
        <w:rPr>
          <w:color w:val="000000" w:themeColor="text1"/>
          <w:sz w:val="28"/>
          <w:szCs w:val="28"/>
        </w:rPr>
      </w:pPr>
      <w:r w:rsidRPr="00D10163">
        <w:rPr>
          <w:color w:val="000000" w:themeColor="text1"/>
          <w:sz w:val="28"/>
          <w:szCs w:val="28"/>
        </w:rPr>
        <w:t xml:space="preserve">В этой связи производство по делу подлежит </w:t>
      </w:r>
      <w:r w:rsidRPr="00D10163">
        <w:rPr>
          <w:iCs/>
          <w:color w:val="000000" w:themeColor="text1"/>
          <w:sz w:val="28"/>
          <w:szCs w:val="28"/>
        </w:rPr>
        <w:t>прекращению</w:t>
      </w:r>
      <w:r w:rsidRPr="00D10163">
        <w:rPr>
          <w:color w:val="000000" w:themeColor="text1"/>
          <w:sz w:val="28"/>
          <w:szCs w:val="28"/>
        </w:rPr>
        <w:t xml:space="preserve"> за отсутствием в действиях </w:t>
      </w:r>
      <w:r w:rsidRPr="00D10163">
        <w:rPr>
          <w:sz w:val="28"/>
          <w:szCs w:val="28"/>
        </w:rPr>
        <w:t xml:space="preserve">Суслова С.В. </w:t>
      </w:r>
      <w:r w:rsidRPr="00D10163">
        <w:rPr>
          <w:color w:val="000000" w:themeColor="text1"/>
          <w:sz w:val="28"/>
          <w:szCs w:val="28"/>
        </w:rPr>
        <w:t xml:space="preserve">состава </w:t>
      </w:r>
      <w:r w:rsidRPr="00D10163">
        <w:rPr>
          <w:iCs/>
          <w:color w:val="000000" w:themeColor="text1"/>
          <w:sz w:val="28"/>
          <w:szCs w:val="28"/>
        </w:rPr>
        <w:t>административного</w:t>
      </w:r>
      <w:r w:rsidRPr="00D10163">
        <w:rPr>
          <w:i/>
          <w:color w:val="000000" w:themeColor="text1"/>
          <w:sz w:val="28"/>
          <w:szCs w:val="28"/>
        </w:rPr>
        <w:t xml:space="preserve"> </w:t>
      </w:r>
      <w:r w:rsidRPr="00D10163">
        <w:rPr>
          <w:iCs/>
          <w:color w:val="000000" w:themeColor="text1"/>
          <w:sz w:val="28"/>
          <w:szCs w:val="28"/>
        </w:rPr>
        <w:t>правонарушения</w:t>
      </w:r>
      <w:r w:rsidRPr="00D10163">
        <w:rPr>
          <w:color w:val="000000" w:themeColor="text1"/>
          <w:sz w:val="28"/>
          <w:szCs w:val="28"/>
        </w:rPr>
        <w:t xml:space="preserve">, предусмотренного </w:t>
      </w:r>
      <w:hyperlink r:id="rId5" w:anchor="/document/12125267/entry/202501" w:history="1">
        <w:r w:rsidRPr="00D10163">
          <w:rPr>
            <w:color w:val="000000" w:themeColor="text1"/>
            <w:sz w:val="28"/>
            <w:szCs w:val="28"/>
          </w:rPr>
          <w:t>ч.4</w:t>
        </w:r>
        <w:r w:rsidRPr="00D10163">
          <w:rPr>
            <w:i/>
            <w:color w:val="000000" w:themeColor="text1"/>
            <w:sz w:val="28"/>
            <w:szCs w:val="28"/>
          </w:rPr>
          <w:t xml:space="preserve"> </w:t>
        </w:r>
        <w:r w:rsidRPr="00D10163">
          <w:rPr>
            <w:iCs/>
            <w:color w:val="000000" w:themeColor="text1"/>
            <w:sz w:val="28"/>
            <w:szCs w:val="28"/>
          </w:rPr>
          <w:t>ст</w:t>
        </w:r>
        <w:r w:rsidRPr="00D10163">
          <w:rPr>
            <w:i/>
            <w:color w:val="000000" w:themeColor="text1"/>
            <w:sz w:val="28"/>
            <w:szCs w:val="28"/>
          </w:rPr>
          <w:t>.</w:t>
        </w:r>
        <w:r w:rsidRPr="00D10163">
          <w:rPr>
            <w:iCs/>
            <w:color w:val="000000" w:themeColor="text1"/>
            <w:sz w:val="28"/>
            <w:szCs w:val="28"/>
          </w:rPr>
          <w:t>12.15</w:t>
        </w:r>
      </w:hyperlink>
      <w:r w:rsidRPr="00D10163">
        <w:rPr>
          <w:i/>
          <w:color w:val="000000" w:themeColor="text1"/>
          <w:sz w:val="28"/>
          <w:szCs w:val="28"/>
        </w:rPr>
        <w:t xml:space="preserve"> </w:t>
      </w:r>
      <w:r w:rsidRPr="00D10163">
        <w:rPr>
          <w:iCs/>
          <w:color w:val="000000" w:themeColor="text1"/>
          <w:sz w:val="28"/>
          <w:szCs w:val="28"/>
        </w:rPr>
        <w:t>КоАП</w:t>
      </w:r>
      <w:r w:rsidRPr="00D10163">
        <w:rPr>
          <w:i/>
          <w:color w:val="000000" w:themeColor="text1"/>
          <w:sz w:val="28"/>
          <w:szCs w:val="28"/>
        </w:rPr>
        <w:t xml:space="preserve"> </w:t>
      </w:r>
      <w:r w:rsidRPr="00D10163">
        <w:rPr>
          <w:color w:val="000000" w:themeColor="text1"/>
          <w:sz w:val="28"/>
          <w:szCs w:val="28"/>
        </w:rPr>
        <w:t>РФ.</w:t>
      </w:r>
    </w:p>
    <w:p w:rsidR="00D10163" w:rsidRPr="00D10163" w:rsidP="00D10163">
      <w:pPr>
        <w:ind w:firstLine="567"/>
        <w:jc w:val="both"/>
        <w:rPr>
          <w:rFonts w:eastAsia="Calibri"/>
          <w:sz w:val="28"/>
          <w:szCs w:val="28"/>
          <w:lang w:eastAsia="en-US"/>
        </w:rPr>
      </w:pPr>
      <w:r w:rsidRPr="00D10163">
        <w:rPr>
          <w:rFonts w:eastAsia="Calibri"/>
          <w:sz w:val="28"/>
          <w:szCs w:val="28"/>
          <w:lang w:eastAsia="en-US"/>
        </w:rPr>
        <w:t>На основании изложенного, руководствуясь ч.2 ст.24.5, ст.29.10 КоАП РФ, мировой судья,</w:t>
      </w:r>
    </w:p>
    <w:p w:rsidR="00D10163" w:rsidRPr="00D10163" w:rsidP="00D10163">
      <w:pPr>
        <w:ind w:firstLine="567"/>
        <w:jc w:val="center"/>
        <w:rPr>
          <w:rFonts w:eastAsia="Calibri"/>
          <w:sz w:val="28"/>
          <w:szCs w:val="28"/>
          <w:lang w:eastAsia="en-US"/>
        </w:rPr>
      </w:pPr>
      <w:r w:rsidRPr="00D10163">
        <w:rPr>
          <w:rFonts w:eastAsia="Calibri"/>
          <w:sz w:val="28"/>
          <w:szCs w:val="28"/>
          <w:lang w:eastAsia="en-US"/>
        </w:rPr>
        <w:t>ПОСТАНОВИЛ:</w:t>
      </w:r>
    </w:p>
    <w:p w:rsidR="00D10163" w:rsidRPr="00D10163" w:rsidP="00D10163">
      <w:pPr>
        <w:ind w:firstLine="567"/>
        <w:jc w:val="both"/>
        <w:rPr>
          <w:rFonts w:eastAsia="Calibri"/>
          <w:sz w:val="28"/>
          <w:szCs w:val="28"/>
          <w:lang w:eastAsia="en-US"/>
        </w:rPr>
      </w:pPr>
      <w:r w:rsidRPr="00D10163">
        <w:rPr>
          <w:rFonts w:eastAsia="Calibri"/>
          <w:sz w:val="28"/>
          <w:szCs w:val="28"/>
          <w:lang w:eastAsia="en-US"/>
        </w:rPr>
        <w:t xml:space="preserve">прекратить производство по делу об административном правонарушении в отношении </w:t>
      </w:r>
      <w:r w:rsidRPr="00D10163">
        <w:rPr>
          <w:sz w:val="28"/>
          <w:szCs w:val="28"/>
        </w:rPr>
        <w:t xml:space="preserve">Суслова Сергея Васильевича </w:t>
      </w:r>
      <w:r w:rsidRPr="00D10163">
        <w:rPr>
          <w:rFonts w:eastAsia="Calibri"/>
          <w:sz w:val="28"/>
          <w:szCs w:val="28"/>
          <w:lang w:eastAsia="en-US"/>
        </w:rPr>
        <w:t>на основании п.2 ч.1 ст.24.5 КоАП РФ, в связи с отсутствием в его действиях состава административного правонарушения, предусмотренного ч.4 ст.12.15 КоАП РФ.</w:t>
      </w:r>
    </w:p>
    <w:p w:rsidR="00D10163" w:rsidRPr="00D10163" w:rsidP="00D10163">
      <w:pPr>
        <w:ind w:firstLine="567"/>
        <w:jc w:val="both"/>
        <w:rPr>
          <w:rFonts w:eastAsia="Calibri"/>
          <w:sz w:val="28"/>
          <w:szCs w:val="28"/>
          <w:lang w:eastAsia="en-US"/>
        </w:rPr>
      </w:pPr>
      <w:r w:rsidRPr="00D10163">
        <w:rPr>
          <w:rFonts w:eastAsia="Calibri"/>
          <w:sz w:val="28"/>
          <w:szCs w:val="28"/>
          <w:lang w:eastAsia="en-US"/>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10163" w:rsidRPr="00D10163" w:rsidP="00D10163">
      <w:pPr>
        <w:ind w:firstLine="567"/>
        <w:jc w:val="both"/>
        <w:rPr>
          <w:rFonts w:eastAsia="Calibri"/>
          <w:sz w:val="28"/>
          <w:szCs w:val="28"/>
          <w:lang w:eastAsia="en-US"/>
        </w:rPr>
      </w:pPr>
    </w:p>
    <w:p w:rsidR="00D10163" w:rsidRPr="00D10163" w:rsidP="00D10163">
      <w:pPr>
        <w:jc w:val="both"/>
        <w:rPr>
          <w:rFonts w:eastAsia="Calibri"/>
          <w:sz w:val="28"/>
          <w:szCs w:val="28"/>
          <w:lang w:eastAsia="en-US"/>
        </w:rPr>
      </w:pPr>
      <w:r w:rsidRPr="00D10163">
        <w:rPr>
          <w:rFonts w:eastAsia="Calibri"/>
          <w:sz w:val="28"/>
          <w:szCs w:val="28"/>
          <w:lang w:eastAsia="en-US"/>
        </w:rPr>
        <w:t xml:space="preserve">Мировой судья </w:t>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t xml:space="preserve">    </w:t>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t xml:space="preserve">          М.Х. Шинкарь</w:t>
      </w:r>
    </w:p>
    <w:p w:rsidR="00D10163" w:rsidRPr="00D10163" w:rsidP="00D10163">
      <w:pPr>
        <w:jc w:val="both"/>
        <w:rPr>
          <w:rFonts w:eastAsia="Calibri"/>
          <w:sz w:val="28"/>
          <w:szCs w:val="28"/>
          <w:lang w:eastAsia="en-US"/>
        </w:rPr>
      </w:pPr>
    </w:p>
    <w:p w:rsidR="00D10163" w:rsidRPr="00D10163" w:rsidP="00D10163">
      <w:pPr>
        <w:jc w:val="both"/>
        <w:rPr>
          <w:rFonts w:eastAsia="Calibri"/>
          <w:sz w:val="28"/>
          <w:szCs w:val="28"/>
          <w:lang w:eastAsia="en-US"/>
        </w:rPr>
      </w:pPr>
      <w:r w:rsidRPr="00D10163">
        <w:rPr>
          <w:rFonts w:eastAsia="Calibri"/>
          <w:sz w:val="28"/>
          <w:szCs w:val="28"/>
          <w:lang w:eastAsia="en-US"/>
        </w:rPr>
        <w:t>Копия верна:</w:t>
      </w:r>
    </w:p>
    <w:p w:rsidR="00D10163" w:rsidRPr="00D10163" w:rsidP="00D10163">
      <w:pPr>
        <w:jc w:val="both"/>
        <w:rPr>
          <w:rFonts w:eastAsia="Calibri"/>
          <w:sz w:val="28"/>
          <w:szCs w:val="28"/>
          <w:lang w:eastAsia="en-US"/>
        </w:rPr>
      </w:pPr>
      <w:r w:rsidRPr="00D10163">
        <w:rPr>
          <w:rFonts w:eastAsia="Calibri"/>
          <w:sz w:val="28"/>
          <w:szCs w:val="28"/>
          <w:lang w:eastAsia="en-US"/>
        </w:rPr>
        <w:t>Мировой судья</w:t>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r>
      <w:r w:rsidRPr="00D10163">
        <w:rPr>
          <w:rFonts w:eastAsia="Calibri"/>
          <w:sz w:val="28"/>
          <w:szCs w:val="28"/>
          <w:lang w:eastAsia="en-US"/>
        </w:rPr>
        <w:tab/>
        <w:t xml:space="preserve"> М.Х. Шинкарь</w:t>
      </w:r>
    </w:p>
    <w:p w:rsidR="00486C92" w:rsidRPr="00D10163" w:rsidP="00D10163">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8711-908D-4D1C-AB3F-9470F80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